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  <w:t xml:space="preserve">Пояснительная записка</w:t>
      </w:r>
      <w:r>
        <w:rPr>
          <w:b/>
          <w:bCs/>
          <w:caps/>
          <w:sz w:val="28"/>
          <w:szCs w:val="28"/>
        </w:rPr>
      </w:r>
    </w:p>
    <w:p>
      <w:pPr>
        <w:ind w:left="283" w:right="283"/>
        <w:jc w:val="center"/>
        <w:spacing w:before="283"/>
        <w:rPr>
          <w:b/>
          <w:bCs/>
        </w:rPr>
      </w:pPr>
      <w:r>
        <w:rPr>
          <w:b/>
          <w:bCs/>
        </w:rPr>
        <w:t xml:space="preserve">Модернизация систем охранного видеонаблюдения в клиентских офисах</w:t>
      </w:r>
      <w:r>
        <w:rPr>
          <w:b/>
          <w:bCs/>
        </w:rPr>
      </w:r>
    </w:p>
    <w:p>
      <w:pPr>
        <w:jc w:val="center"/>
        <w:spacing w:before="113"/>
        <w:rPr>
          <w:b/>
          <w:bCs/>
        </w:rPr>
      </w:pPr>
      <w:r>
        <w:rPr>
          <w:b/>
          <w:bCs/>
        </w:rPr>
        <w:t xml:space="preserve">Код проекта - 15.01.10046</w:t>
      </w:r>
      <w:r>
        <w:rPr>
          <w:b/>
          <w:bCs/>
        </w:rPr>
      </w:r>
    </w:p>
    <w:p>
      <w:pPr>
        <w:pStyle w:val="12"/>
        <w:numPr>
          <w:ilvl w:val="0"/>
          <w:numId w:val="1"/>
        </w:numPr>
      </w:pPr>
      <w:r>
        <w:t xml:space="preserve">ОПИСАНИЕ ИПКВ</w:t>
      </w:r>
      <w:r/>
    </w:p>
    <w:p>
      <w:pPr>
        <w:pStyle w:val="14"/>
        <w:numPr>
          <w:ilvl w:val="1"/>
          <w:numId w:val="1"/>
        </w:numPr>
      </w:pPr>
      <w:r>
        <w:t xml:space="preserve">Объект вложения средств</w:t>
      </w:r>
      <w:r/>
    </w:p>
    <w:p>
      <w:r>
        <w:t xml:space="preserve">АО "Петербургская сбытовая компания"</w:t>
      </w:r>
      <w:r/>
    </w:p>
    <w:p>
      <w:pPr>
        <w:spacing w:before="283" w:after="283"/>
        <w:rPr>
          <w:b/>
          <w:bCs/>
        </w:rPr>
      </w:pPr>
      <w:r>
        <w:rPr>
          <w:b/>
          <w:bCs/>
        </w:rPr>
        <w:t xml:space="preserve">Объект ОС:</w:t>
      </w:r>
      <w:r>
        <w:rPr>
          <w:b/>
          <w:bCs/>
        </w:rPr>
      </w:r>
    </w:p>
    <w:p>
      <w:r>
        <w:t xml:space="preserve">Модернизация систем охранного видеонаблюдения в клиентских офисах</w:t>
      </w:r>
      <w:r/>
    </w:p>
    <w:p>
      <w:pPr>
        <w:pStyle w:val="14"/>
        <w:numPr>
          <w:ilvl w:val="1"/>
          <w:numId w:val="1"/>
        </w:numPr>
      </w:pPr>
      <w:r>
        <w:t xml:space="preserve">Предпосылки / необходимость реализации ИПКВ </w:t>
      </w:r>
      <w:r/>
    </w:p>
    <w:p>
      <w:r>
        <w:t xml:space="preserve">Модернизация систем охранного видеонаблюдения в Гатчинском и Тихвинском отделениях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энергосервисных компаний Группы «Интер РАО». Необходимость реализации проекта возникла в связи с тем, что имеющиеся системы охранного видеонаблюдения в 2025 году выработают установленный ресурс 5 лет (введены в эксплуатацию в 2016-2017гг)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«ПСК».</w:t>
      </w:r>
      <w:r/>
    </w:p>
    <w:p>
      <w:pPr>
        <w:pStyle w:val="14"/>
        <w:numPr>
          <w:ilvl w:val="1"/>
          <w:numId w:val="1"/>
        </w:numPr>
      </w:pPr>
      <w:r>
        <w:t xml:space="preserve">Цель ИПКВ</w:t>
      </w:r>
      <w:r/>
    </w:p>
    <w:p>
      <w:r>
        <w:t xml:space="preserve"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охраны.</w:t>
      </w:r>
      <w:r/>
    </w:p>
    <w:p>
      <w:pPr>
        <w:pStyle w:val="14"/>
        <w:numPr>
          <w:ilvl w:val="1"/>
          <w:numId w:val="1"/>
        </w:numPr>
      </w:pPr>
      <w:r>
        <w:t xml:space="preserve">Сопутствующие эффекты ИПКВ</w:t>
      </w:r>
      <w:r/>
    </w:p>
    <w:p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</w:t>
        <w:tab/>
        <w:t xml:space="preserve">повышение энергоэффективности и энергосбережения производства; </w:t>
      </w:r>
      <w:r/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</w:t>
      </w:r>
      <w:r>
        <w:rPr>
          <w:rFonts w:hint="default" w:ascii="Times New Roman" w:hAnsi="Times New Roman" w:eastAsia="Times New Roman" w:cs="Times New Roman"/>
          <w:color w:val="333333"/>
          <w:sz w:val="24"/>
        </w:rPr>
        <w:tab/>
      </w: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повышение пожарной безопасности.</w:t>
      </w:r>
      <w:r>
        <w:rPr>
          <w:color w:val="333333"/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Технические решения ИПКВ</w:t>
      </w:r>
      <w:r/>
    </w:p>
    <w:p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В течение 2025 года в рамках проект планируются выполнить работы по м</w:t>
      </w:r>
      <w:r>
        <w:t xml:space="preserve">одернизации систем охранного видеонаблюдения:</w:t>
      </w:r>
      <w:r/>
    </w:p>
    <w:p>
      <w:r>
        <w:t xml:space="preserve">- в помещениях Гатчинского ОСЭ по адресу: Ленинградская область, г. Гатчина, ул. Старая дорога, д.2.;</w:t>
      </w:r>
      <w:r/>
    </w:p>
    <w:p>
      <w:r>
        <w:t xml:space="preserve">- в помещениях Тихвинского ОСЭ по адресу: Ленинградская область, г. Тихвин, 1А Микрорайон, д.37.</w:t>
      </w:r>
      <w:r/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Перехода реализации между годами (финансирования, освоения и ввода) не предусмотрено. </w:t>
      </w:r>
      <w:r>
        <w:rPr>
          <w:color w:val="333333"/>
          <w:sz w:val="26"/>
          <w:szCs w:val="26"/>
        </w:rPr>
      </w:r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Реализация проекта запланирована на базе отечественных программно-аппаратных комплексов безопасности, применение иностранного оборудования в рамках предлагаемых технических решений итогового варианта проводится исключительно при отсутствии возможности замещения данного оборудования отечественной продукцией, эквивалентной по техническим характеристикам и потребительским свойствам.</w:t>
      </w:r>
      <w:r>
        <w:rPr>
          <w:color w:val="333333"/>
          <w:sz w:val="26"/>
          <w:szCs w:val="26"/>
        </w:rPr>
      </w:r>
    </w:p>
    <w:p>
      <w:pPr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Дополнительная информация</w:t>
      </w:r>
      <w:r/>
    </w:p>
    <w:p>
      <w:r>
        <w:t xml:space="preserve">Данный ИПКВ не включён в стратегические документы компании, а также не связан с другими проектами.</w:t>
      </w:r>
      <w:r/>
    </w:p>
    <w:p>
      <w:pPr>
        <w:pStyle w:val="12"/>
        <w:numPr>
          <w:ilvl w:val="0"/>
          <w:numId w:val="1"/>
        </w:numPr>
      </w:pPr>
      <w:r>
        <w:t xml:space="preserve">ОБЪЕМ, СРОКИ И ЗАТРАТЫ ИПКВ</w:t>
      </w:r>
      <w:r/>
    </w:p>
    <w:p>
      <w:pPr>
        <w:pStyle w:val="632"/>
      </w:pPr>
      <w:r>
        <w:t xml:space="preserve">Начало выполнения работ - 2 квартал 2025 г.</w:t>
      </w:r>
      <w:r/>
    </w:p>
    <w:p>
      <w:pPr>
        <w:pStyle w:val="632"/>
        <w:spacing w:before="57"/>
      </w:pPr>
      <w:r>
        <w:t xml:space="preserve">Завершение работ - 4 квартал 2025 г.</w:t>
      </w:r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1.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Освоение: тыс. единиц национальной валюты без НДС</w:t>
      </w:r>
      <w:r>
        <w:rPr>
          <w:sz w:val="22"/>
          <w:szCs w:val="22"/>
        </w:rPr>
      </w:r>
    </w:p>
    <w:tbl>
      <w:tblPr>
        <w:tblStyle w:val="771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72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2250" w:type="pct"/>
            <w:textDirection w:val="lrTb"/>
            <w:noWrap w:val="false"/>
          </w:tcPr>
          <w:p>
            <w:pPr>
              <w:pStyle w:val="772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1500" w:type="pct"/>
            <w:textDirection w:val="lrTb"/>
            <w:noWrap w:val="false"/>
          </w:tcPr>
          <w:p>
            <w:pPr>
              <w:pStyle w:val="772"/>
            </w:pPr>
            <w:r/>
            <w:r>
              <w:t xml:space="preserve">Договор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72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72"/>
            </w:pPr>
            <w:r/>
            <w:r>
              <w:t xml:space="preserve">Итого без НДС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1.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ПИР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270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270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2.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СМР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869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869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3.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Прочее оборудование и комплектующие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3 525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3 525</w:t>
            </w:r>
            <w:r/>
          </w:p>
        </w:tc>
      </w:tr>
      <w:tr>
        <w:trPr/>
        <w:tc>
          <w:tcPr>
            <w:gridSpan w:val="3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74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73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4 664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73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4 664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2.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Финансирование: тыс. единиц национальной валюты с НДС</w:t>
      </w:r>
      <w:r>
        <w:rPr>
          <w:sz w:val="22"/>
          <w:szCs w:val="22"/>
        </w:rPr>
      </w:r>
    </w:p>
    <w:tbl>
      <w:tblPr>
        <w:tblStyle w:val="771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72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2250" w:type="pct"/>
            <w:textDirection w:val="lrTb"/>
            <w:noWrap w:val="false"/>
          </w:tcPr>
          <w:p>
            <w:pPr>
              <w:pStyle w:val="772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1500" w:type="pct"/>
            <w:textDirection w:val="lrTb"/>
            <w:noWrap w:val="false"/>
          </w:tcPr>
          <w:p>
            <w:pPr>
              <w:pStyle w:val="772"/>
            </w:pPr>
            <w:r/>
            <w:r>
              <w:t xml:space="preserve">Договор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72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72"/>
            </w:pPr>
            <w:r/>
            <w:r>
              <w:t xml:space="preserve">Итого с НДС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1.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ПИР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324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324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2.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СМР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1 042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1 042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3.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>
              <w:t xml:space="preserve">Прочее оборудование и комплектующие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4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4 230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3"/>
            </w:pPr>
            <w:r/>
            <w:r>
              <w:t xml:space="preserve">4 230</w:t>
            </w:r>
            <w:r/>
          </w:p>
        </w:tc>
      </w:tr>
      <w:tr>
        <w:trPr/>
        <w:tc>
          <w:tcPr>
            <w:gridSpan w:val="3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74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73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5 596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73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5 596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3.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Ключевые контрольные точки</w:t>
      </w:r>
      <w:r>
        <w:rPr>
          <w:sz w:val="22"/>
          <w:szCs w:val="22"/>
        </w:rPr>
      </w:r>
    </w:p>
    <w:tbl>
      <w:tblPr>
        <w:tblStyle w:val="771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>
        <w:trPr/>
        <w:tc>
          <w:tcPr>
            <w:gridSpan w:val="3"/>
            <w:textDirection w:val="lrTb"/>
            <w:noWrap w:val="false"/>
          </w:tcPr>
          <w:p>
            <w:pPr>
              <w:pStyle w:val="772"/>
            </w:pPr>
            <w:r/>
            <w:r>
              <w:t xml:space="preserve">КЛЮЧЕВЫЕ КОНТРОЛЬНЫЕ ТОЧКИ</w:t>
            </w:r>
            <w:r/>
          </w:p>
        </w:tc>
      </w:tr>
      <w:tr>
        <w:trPr/>
        <w:tc>
          <w:tcPr>
            <w:textDirection w:val="lrTb"/>
            <w:noWrap w:val="false"/>
          </w:tcPr>
          <w:p>
            <w:pPr>
              <w:pStyle w:val="772"/>
            </w:pPr>
            <w:r/>
            <w:r>
              <w:t xml:space="preserve">Название контрольной точки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72"/>
            </w:pPr>
            <w:r/>
            <w:r>
              <w:t xml:space="preserve">Ответственный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72"/>
            </w:pPr>
            <w:r/>
            <w:r>
              <w:t xml:space="preserve">Плановая дата</w:t>
            </w:r>
            <w:r/>
          </w:p>
        </w:tc>
      </w:tr>
    </w:tbl>
    <w:p>
      <w:r/>
    </w:p>
    <w:p>
      <w:pPr>
        <w:pStyle w:val="12"/>
        <w:numPr>
          <w:ilvl w:val="0"/>
          <w:numId w:val="1"/>
        </w:numPr>
      </w:pPr>
      <w:r>
        <w:t xml:space="preserve">КОНТАКТНОЕ ЛИЦО</w:t>
      </w:r>
      <w:r/>
    </w:p>
    <w:p>
      <w:pPr>
        <w:pStyle w:val="632"/>
        <w:spacing w:before="283" w:after="113"/>
      </w:pPr>
      <w:r>
        <w:t xml:space="preserve"> - Куратор ИПКВ:   </w:t>
      </w:r>
      <w:r/>
    </w:p>
    <w:p>
      <w:pPr>
        <w:pStyle w:val="632"/>
        <w:spacing w:before="283" w:after="113"/>
      </w:pPr>
      <w:r>
        <w:t xml:space="preserve"> - Единое ответственное лицо ИПКВ:   </w:t>
      </w:r>
      <w:r/>
    </w:p>
    <w:p>
      <w:pPr>
        <w:pStyle w:val="632"/>
        <w:spacing w:before="283" w:after="113"/>
      </w:pPr>
      <w:r>
        <w:t xml:space="preserve"> - Заказчик ИПКВ:   </w:t>
      </w:r>
      <w:r/>
    </w:p>
    <w:p>
      <w:pPr>
        <w:pStyle w:val="632"/>
        <w:spacing w:before="283" w:after="113"/>
      </w:pPr>
      <w:r>
        <w:t xml:space="preserve"> - Инициатор ИПКВ: Руководитель направления по инженерно-техническим системам охраны Петербургская сбытовая компания Артемьев Дмитрий Владиславович</w:t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B0603020202020204"/>
  </w:font>
  <w:font w:name="Cambria">
    <w:panose1 w:val="02060603050605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fldSimple w:instr="PAGE \* MERGEFORMAT">
      <w:r>
        <w:t xml:space="preserve">1</w:t>
      </w:r>
    </w:fldSimple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 "/>
      <w:lvlJc w:val="left"/>
      <w:pPr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ind w:left="142" w:firstLine="0"/>
      <w:keepLines/>
      <w:keepNext/>
      <w:spacing w:before="567" w:after="255" w:line="240" w:lineRule="auto"/>
      <w:outlineLvl w:val="0"/>
    </w:pPr>
    <w:rPr>
      <w:rFonts w:hint="default" w:ascii="Arial" w:hAnsi="Arial" w:eastAsia="Arial" w:cs="Arial"/>
      <w:b/>
      <w:sz w:val="28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ind w:left="142" w:firstLine="0"/>
      <w:keepLines/>
      <w:keepNext/>
      <w:spacing w:before="482" w:after="198" w:line="140" w:lineRule="auto"/>
      <w:outlineLvl w:val="1"/>
    </w:pPr>
    <w:rPr>
      <w:rFonts w:hint="default" w:ascii="Arial" w:hAnsi="Arial" w:eastAsia="Arial" w:cs="Arial"/>
      <w:b/>
      <w:sz w:val="2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ind w:firstLine="283"/>
      <w:spacing w:before="0" w:after="0" w:line="240" w:lineRule="auto"/>
    </w:pPr>
    <w:rPr>
      <w:rFonts w:hint="default" w:ascii="Arial" w:hAnsi="Arial" w:eastAsia="Arial" w:cs="Arial"/>
      <w:sz w:val="24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632">
    <w:name w:val="Normal paragraph"/>
    <w:basedOn w:val="598"/>
    <w:uiPriority w:val="1"/>
    <w:qFormat/>
    <w:pPr>
      <w:spacing w:before="170"/>
    </w:pPr>
  </w:style>
  <w:style w:type="table" w:styleId="771">
    <w:name w:val="Таблица 1"/>
    <w:uiPriority w:val="1"/>
    <w:qFormat/>
    <w:tblPr>
      <w:tblInd w:w="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tcMar>
        <w:left w:w="85" w:type="dxa"/>
        <w:top w:w="91" w:type="dxa"/>
        <w:right w:w="85" w:type="dxa"/>
        <w:bottom w:w="91" w:type="dxa"/>
      </w:tcMar>
      <w:vAlign w:val="center"/>
    </w:tcPr>
  </w:style>
  <w:style w:type="paragraph" w:styleId="772">
    <w:name w:val="Таблица 1. Заголовок"/>
    <w:uiPriority w:val="1"/>
    <w:qFormat/>
    <w:pPr>
      <w:ind w:left="0" w:right="0"/>
      <w:jc w:val="center"/>
      <w:spacing w:after="0" w:line="240" w:lineRule="auto"/>
    </w:pPr>
    <w:rPr>
      <w:rFonts w:hint="default" w:ascii="Arial" w:hAnsi="Arial" w:eastAsia="Arial" w:cs="Arial"/>
      <w:b/>
      <w:sz w:val="20"/>
    </w:rPr>
  </w:style>
  <w:style w:type="paragraph" w:styleId="773">
    <w:name w:val="Таблица 1. Число"/>
    <w:basedOn w:val="772"/>
    <w:uiPriority w:val="1"/>
    <w:qFormat/>
    <w:pPr>
      <w:jc w:val="right"/>
    </w:pPr>
    <w:rPr/>
  </w:style>
  <w:style w:type="paragraph" w:styleId="774">
    <w:name w:val="Таблица 1. Строка"/>
    <w:basedOn w:val="772"/>
    <w:uiPriority w:val="1"/>
    <w:qFormat/>
    <w:pPr>
      <w:jc w:val="left"/>
    </w:pPr>
    <w:r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2024-10-10T06:41:32Z</dcterms:modified>
</cp:coreProperties>
</file>